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431A5"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bookmarkStart w:id="0" w:name="_GoBack"/>
      <w:bookmarkEnd w:id="0"/>
    </w:p>
    <w:p w14:paraId="3DD1570A" w14:textId="07B8889E" w:rsidR="00DA36E8" w:rsidRDefault="00D9517D" w:rsidP="008262FF">
      <w:pPr>
        <w:tabs>
          <w:tab w:val="left" w:pos="1170"/>
        </w:tabs>
        <w:spacing w:after="120" w:line="480" w:lineRule="auto"/>
        <w:rPr>
          <w:sz w:val="24"/>
        </w:rPr>
      </w:pPr>
      <w:r>
        <w:rPr>
          <w:sz w:val="24"/>
        </w:rPr>
        <w:t>To:</w:t>
      </w:r>
      <w:r>
        <w:rPr>
          <w:sz w:val="24"/>
        </w:rPr>
        <w:tab/>
        <w:t>Kourtnee Jinks, Legal Division</w:t>
      </w:r>
    </w:p>
    <w:p w14:paraId="4D5DD131" w14:textId="0C10AD58" w:rsidR="00D9517D" w:rsidRDefault="00D9517D" w:rsidP="003B1204">
      <w:pPr>
        <w:tabs>
          <w:tab w:val="left" w:pos="1170"/>
          <w:tab w:val="left" w:pos="6540"/>
        </w:tabs>
        <w:spacing w:after="120" w:line="480" w:lineRule="auto"/>
        <w:rPr>
          <w:sz w:val="24"/>
        </w:rPr>
      </w:pPr>
      <w:r>
        <w:rPr>
          <w:sz w:val="24"/>
        </w:rPr>
        <w:t>From:</w:t>
      </w:r>
      <w:r>
        <w:rPr>
          <w:sz w:val="24"/>
        </w:rPr>
        <w:tab/>
        <w:t>Ruth Stark, Rate Regulation Division</w:t>
      </w:r>
      <w:r w:rsidR="00902E8A">
        <w:rPr>
          <w:sz w:val="24"/>
        </w:rPr>
        <w:tab/>
      </w:r>
    </w:p>
    <w:p w14:paraId="75020528" w14:textId="3822D013" w:rsidR="00D9517D" w:rsidRDefault="00D9517D" w:rsidP="004712FD">
      <w:pPr>
        <w:tabs>
          <w:tab w:val="left" w:pos="1170"/>
        </w:tabs>
        <w:ind w:left="1166" w:hanging="1166"/>
        <w:jc w:val="both"/>
        <w:rPr>
          <w:i/>
          <w:iCs/>
          <w:sz w:val="24"/>
        </w:rPr>
      </w:pPr>
      <w:r>
        <w:rPr>
          <w:sz w:val="24"/>
        </w:rPr>
        <w:t>Subject:</w:t>
      </w:r>
      <w:r>
        <w:rPr>
          <w:sz w:val="24"/>
        </w:rPr>
        <w:tab/>
        <w:t xml:space="preserve">Docket No. 50806, </w:t>
      </w:r>
      <w:r>
        <w:rPr>
          <w:i/>
          <w:iCs/>
          <w:sz w:val="24"/>
        </w:rPr>
        <w:t xml:space="preserve">Application of El Paso Electric Company to </w:t>
      </w:r>
      <w:r w:rsidR="00902E8A">
        <w:rPr>
          <w:i/>
          <w:iCs/>
          <w:sz w:val="24"/>
        </w:rPr>
        <w:t xml:space="preserve">Adjust </w:t>
      </w:r>
      <w:r>
        <w:rPr>
          <w:i/>
          <w:iCs/>
          <w:sz w:val="24"/>
        </w:rPr>
        <w:t>Its Energy Efficiency Cost Recovery Factor and Establish Revised Cost Cap</w:t>
      </w:r>
    </w:p>
    <w:p w14:paraId="216A6F80" w14:textId="0B4438CD" w:rsidR="00D9517D" w:rsidRDefault="00D9517D" w:rsidP="00D9517D">
      <w:pPr>
        <w:tabs>
          <w:tab w:val="left" w:pos="1170"/>
        </w:tabs>
        <w:ind w:left="1166" w:hanging="1166"/>
        <w:rPr>
          <w:i/>
          <w:iCs/>
          <w:sz w:val="24"/>
        </w:rPr>
      </w:pPr>
    </w:p>
    <w:p w14:paraId="5343C5E5" w14:textId="2A9547D7" w:rsidR="00D9517D" w:rsidRDefault="00D9517D" w:rsidP="00D9517D">
      <w:pPr>
        <w:tabs>
          <w:tab w:val="left" w:pos="1170"/>
        </w:tabs>
        <w:ind w:left="1166" w:hanging="1166"/>
        <w:rPr>
          <w:sz w:val="24"/>
        </w:rPr>
      </w:pPr>
      <w:r>
        <w:rPr>
          <w:sz w:val="24"/>
        </w:rPr>
        <w:t>Date:</w:t>
      </w:r>
      <w:r>
        <w:rPr>
          <w:sz w:val="24"/>
        </w:rPr>
        <w:tab/>
        <w:t xml:space="preserve">July </w:t>
      </w:r>
      <w:r w:rsidR="00902E8A">
        <w:rPr>
          <w:sz w:val="24"/>
        </w:rPr>
        <w:t>10</w:t>
      </w:r>
      <w:r>
        <w:rPr>
          <w:sz w:val="24"/>
        </w:rPr>
        <w:t>, 2020</w:t>
      </w:r>
    </w:p>
    <w:p w14:paraId="2B81DC80" w14:textId="2FF4DC83" w:rsidR="00D9517D" w:rsidRDefault="00D9517D" w:rsidP="00D9517D">
      <w:pPr>
        <w:tabs>
          <w:tab w:val="left" w:pos="1170"/>
        </w:tabs>
        <w:ind w:left="1166" w:hanging="1166"/>
        <w:rPr>
          <w:sz w:val="24"/>
        </w:rPr>
      </w:pPr>
    </w:p>
    <w:p w14:paraId="5FBC6867" w14:textId="59FE16F3" w:rsidR="00D9517D" w:rsidRDefault="00D9517D" w:rsidP="00D9517D">
      <w:pPr>
        <w:pBdr>
          <w:bottom w:val="single" w:sz="12" w:space="1" w:color="auto"/>
        </w:pBdr>
        <w:tabs>
          <w:tab w:val="left" w:pos="1170"/>
        </w:tabs>
        <w:ind w:left="1166" w:hanging="1166"/>
        <w:rPr>
          <w:sz w:val="24"/>
        </w:rPr>
      </w:pPr>
    </w:p>
    <w:p w14:paraId="4438ECA1" w14:textId="56DAAEC2" w:rsidR="00D9517D" w:rsidRDefault="00D9517D" w:rsidP="00D9517D">
      <w:pPr>
        <w:tabs>
          <w:tab w:val="left" w:pos="1170"/>
        </w:tabs>
        <w:ind w:left="1166" w:hanging="1166"/>
        <w:jc w:val="both"/>
        <w:rPr>
          <w:sz w:val="24"/>
        </w:rPr>
      </w:pPr>
    </w:p>
    <w:p w14:paraId="1E6F3340" w14:textId="2B0DF1DF" w:rsidR="00D9517D" w:rsidRDefault="00D9517D" w:rsidP="00D9517D">
      <w:pPr>
        <w:tabs>
          <w:tab w:val="left" w:pos="1170"/>
        </w:tabs>
        <w:ind w:left="1166" w:hanging="1166"/>
        <w:jc w:val="both"/>
        <w:rPr>
          <w:sz w:val="24"/>
        </w:rPr>
      </w:pPr>
    </w:p>
    <w:p w14:paraId="230E73CD" w14:textId="3BF1BBE7" w:rsidR="00916E4A" w:rsidRPr="00916E4A" w:rsidRDefault="00D9517D" w:rsidP="00916E4A">
      <w:pPr>
        <w:tabs>
          <w:tab w:val="left" w:pos="720"/>
        </w:tabs>
        <w:jc w:val="both"/>
        <w:rPr>
          <w:sz w:val="24"/>
        </w:rPr>
      </w:pPr>
      <w:r>
        <w:rPr>
          <w:sz w:val="24"/>
        </w:rPr>
        <w:t xml:space="preserve">This memo presents the accounting </w:t>
      </w:r>
      <w:r w:rsidR="00902E8A">
        <w:rPr>
          <w:sz w:val="24"/>
        </w:rPr>
        <w:t xml:space="preserve">review and analysis of </w:t>
      </w:r>
      <w:r>
        <w:rPr>
          <w:sz w:val="24"/>
        </w:rPr>
        <w:t xml:space="preserve">the request of El Paso Electric Company (EPE or the Company) to revise its energy efficiency cost recovery factor (EECRF) for </w:t>
      </w:r>
      <w:r w:rsidR="00916E4A">
        <w:rPr>
          <w:sz w:val="24"/>
        </w:rPr>
        <w:t>program</w:t>
      </w:r>
      <w:r>
        <w:rPr>
          <w:sz w:val="24"/>
        </w:rPr>
        <w:t xml:space="preserve"> year 2021</w:t>
      </w:r>
      <w:r w:rsidR="00916E4A">
        <w:rPr>
          <w:sz w:val="24"/>
        </w:rPr>
        <w:t xml:space="preserve"> under § 39.905 of the Public Utility Regulatory Act (PURA)</w:t>
      </w:r>
      <w:r w:rsidR="00916E4A">
        <w:rPr>
          <w:rStyle w:val="FootnoteReference"/>
          <w:sz w:val="24"/>
        </w:rPr>
        <w:footnoteReference w:id="1"/>
      </w:r>
      <w:r w:rsidR="00916E4A">
        <w:rPr>
          <w:sz w:val="24"/>
        </w:rPr>
        <w:t xml:space="preserve"> and 16 Texas Administrative Code </w:t>
      </w:r>
      <w:r w:rsidR="0093072B">
        <w:rPr>
          <w:sz w:val="24"/>
        </w:rPr>
        <w:t>(</w:t>
      </w:r>
      <w:r w:rsidR="00916E4A">
        <w:rPr>
          <w:sz w:val="24"/>
        </w:rPr>
        <w:t>TAC</w:t>
      </w:r>
      <w:r w:rsidR="0093072B">
        <w:rPr>
          <w:sz w:val="24"/>
        </w:rPr>
        <w:t>)</w:t>
      </w:r>
      <w:r w:rsidR="00916E4A">
        <w:rPr>
          <w:sz w:val="24"/>
        </w:rPr>
        <w:t xml:space="preserve"> §§ 25.181 and 25.182.  In </w:t>
      </w:r>
      <w:r w:rsidR="004712FD">
        <w:rPr>
          <w:sz w:val="24"/>
        </w:rPr>
        <w:t>this proceeding</w:t>
      </w:r>
      <w:r w:rsidR="00916E4A">
        <w:rPr>
          <w:sz w:val="24"/>
        </w:rPr>
        <w:t xml:space="preserve"> EPE requests approval to </w:t>
      </w:r>
      <w:r w:rsidR="00916E4A" w:rsidRPr="00916E4A">
        <w:rPr>
          <w:sz w:val="24"/>
        </w:rPr>
        <w:t>revise its EECRF for 2021 to a total amount of $5,977,584 based on the following five components:</w:t>
      </w:r>
    </w:p>
    <w:p w14:paraId="7C7D3B69" w14:textId="1ABD6CCE" w:rsidR="00916E4A" w:rsidRPr="00916E4A" w:rsidRDefault="00916E4A" w:rsidP="00916E4A">
      <w:pPr>
        <w:tabs>
          <w:tab w:val="left" w:pos="720"/>
        </w:tabs>
        <w:jc w:val="both"/>
        <w:rPr>
          <w:sz w:val="24"/>
        </w:rPr>
      </w:pPr>
      <w:r w:rsidRPr="00916E4A">
        <w:rPr>
          <w:sz w:val="24"/>
        </w:rPr>
        <w:tab/>
        <w:t>1)</w:t>
      </w:r>
      <w:r w:rsidRPr="00916E4A">
        <w:rPr>
          <w:sz w:val="24"/>
        </w:rPr>
        <w:tab/>
        <w:t>projected 2021 energy efficiency program costs of $4,685,552;</w:t>
      </w:r>
    </w:p>
    <w:p w14:paraId="6B5D3755" w14:textId="7003E144" w:rsidR="00916E4A" w:rsidRPr="00916E4A" w:rsidRDefault="00916E4A" w:rsidP="00916E4A">
      <w:pPr>
        <w:tabs>
          <w:tab w:val="left" w:pos="720"/>
        </w:tabs>
        <w:ind w:left="1440" w:hanging="1440"/>
        <w:jc w:val="both"/>
        <w:rPr>
          <w:sz w:val="24"/>
        </w:rPr>
      </w:pPr>
      <w:r w:rsidRPr="00916E4A">
        <w:rPr>
          <w:sz w:val="24"/>
        </w:rPr>
        <w:tab/>
        <w:t>2)</w:t>
      </w:r>
      <w:r w:rsidRPr="00916E4A">
        <w:rPr>
          <w:sz w:val="24"/>
        </w:rPr>
        <w:tab/>
        <w:t>a performance bonus based on the Company’s 2019 energy efficiency program performance of $1,175,558;</w:t>
      </w:r>
    </w:p>
    <w:p w14:paraId="7220B262" w14:textId="23806F01" w:rsidR="00916E4A" w:rsidRPr="00916E4A" w:rsidRDefault="00916E4A" w:rsidP="00916E4A">
      <w:pPr>
        <w:tabs>
          <w:tab w:val="left" w:pos="720"/>
        </w:tabs>
        <w:jc w:val="both"/>
        <w:rPr>
          <w:sz w:val="24"/>
        </w:rPr>
      </w:pPr>
      <w:r w:rsidRPr="00916E4A">
        <w:rPr>
          <w:sz w:val="24"/>
        </w:rPr>
        <w:tab/>
        <w:t>3)</w:t>
      </w:r>
      <w:r w:rsidRPr="00916E4A">
        <w:rPr>
          <w:sz w:val="24"/>
        </w:rPr>
        <w:tab/>
      </w:r>
      <w:r w:rsidR="005666EB">
        <w:rPr>
          <w:sz w:val="24"/>
        </w:rPr>
        <w:t>expenses for the prior year (2019) proceeding, Docket No. 49496,</w:t>
      </w:r>
      <w:r w:rsidR="005666EB">
        <w:rPr>
          <w:rStyle w:val="FootnoteReference"/>
          <w:sz w:val="24"/>
        </w:rPr>
        <w:footnoteReference w:id="2"/>
      </w:r>
      <w:r w:rsidR="005666EB">
        <w:rPr>
          <w:sz w:val="24"/>
        </w:rPr>
        <w:t xml:space="preserve"> of</w:t>
      </w:r>
      <w:r w:rsidRPr="00916E4A">
        <w:rPr>
          <w:sz w:val="24"/>
        </w:rPr>
        <w:t xml:space="preserve"> $56,641;</w:t>
      </w:r>
    </w:p>
    <w:p w14:paraId="6B685934" w14:textId="43585BAD" w:rsidR="00916E4A" w:rsidRPr="00916E4A" w:rsidRDefault="00916E4A" w:rsidP="00916E4A">
      <w:pPr>
        <w:tabs>
          <w:tab w:val="left" w:pos="720"/>
        </w:tabs>
        <w:ind w:left="1440" w:hanging="1440"/>
        <w:jc w:val="both"/>
        <w:rPr>
          <w:sz w:val="24"/>
        </w:rPr>
      </w:pPr>
      <w:r w:rsidRPr="00916E4A">
        <w:rPr>
          <w:sz w:val="24"/>
        </w:rPr>
        <w:tab/>
        <w:t>4)</w:t>
      </w:r>
      <w:r w:rsidRPr="00916E4A">
        <w:rPr>
          <w:sz w:val="24"/>
        </w:rPr>
        <w:tab/>
        <w:t>a true-up adjustment of $2,455, including interest, for EPE’s 2019 net EECRF under-recovery;</w:t>
      </w:r>
      <w:r w:rsidR="00DD06FB">
        <w:rPr>
          <w:sz w:val="24"/>
        </w:rPr>
        <w:t xml:space="preserve"> and</w:t>
      </w:r>
    </w:p>
    <w:p w14:paraId="77212499" w14:textId="1392E66E" w:rsidR="00916E4A" w:rsidRDefault="00916E4A" w:rsidP="00916E4A">
      <w:pPr>
        <w:tabs>
          <w:tab w:val="left" w:pos="720"/>
        </w:tabs>
        <w:ind w:left="1440" w:hanging="1440"/>
        <w:jc w:val="both"/>
        <w:rPr>
          <w:sz w:val="24"/>
        </w:rPr>
      </w:pPr>
      <w:r w:rsidRPr="00916E4A">
        <w:rPr>
          <w:sz w:val="24"/>
        </w:rPr>
        <w:tab/>
        <w:t>5)</w:t>
      </w:r>
      <w:r w:rsidRPr="00916E4A">
        <w:rPr>
          <w:sz w:val="24"/>
        </w:rPr>
        <w:tab/>
        <w:t>projected evaluation, measurement, and verification (EM&amp;V) costs allocated to EPE by the Commission of $57,378.</w:t>
      </w:r>
      <w:r w:rsidR="005666EB">
        <w:rPr>
          <w:rStyle w:val="FootnoteReference"/>
          <w:sz w:val="24"/>
        </w:rPr>
        <w:footnoteReference w:id="3"/>
      </w:r>
      <w:r w:rsidRPr="00916E4A">
        <w:rPr>
          <w:sz w:val="24"/>
        </w:rPr>
        <w:t xml:space="preserve"> </w:t>
      </w:r>
    </w:p>
    <w:p w14:paraId="25CEF27F" w14:textId="77777777" w:rsidR="00916E4A" w:rsidRDefault="00916E4A" w:rsidP="00916E4A">
      <w:pPr>
        <w:tabs>
          <w:tab w:val="left" w:pos="720"/>
        </w:tabs>
        <w:jc w:val="both"/>
        <w:rPr>
          <w:sz w:val="24"/>
        </w:rPr>
      </w:pPr>
    </w:p>
    <w:p w14:paraId="4B50EA75" w14:textId="1324F67C" w:rsidR="00D9517D" w:rsidRDefault="00C617B2" w:rsidP="00916E4A">
      <w:pPr>
        <w:tabs>
          <w:tab w:val="left" w:pos="720"/>
        </w:tabs>
        <w:jc w:val="both"/>
        <w:rPr>
          <w:sz w:val="24"/>
        </w:rPr>
      </w:pPr>
      <w:r>
        <w:rPr>
          <w:sz w:val="24"/>
        </w:rPr>
        <w:t>My review was limited to the following three items:  calculation of interest on the 2019 under-recovered balance, confirmation that EPE did not include any financial</w:t>
      </w:r>
      <w:r w:rsidR="00902E8A">
        <w:rPr>
          <w:sz w:val="24"/>
        </w:rPr>
        <w:t>ly</w:t>
      </w:r>
      <w:r>
        <w:rPr>
          <w:sz w:val="24"/>
        </w:rPr>
        <w:t xml:space="preserve"> based incentive compensation in its requested EECRF administration expenses, and the reasonableness of the rate-case expenses incurred by EPE and the City of El Paso in Docket No. 49496.</w:t>
      </w:r>
    </w:p>
    <w:p w14:paraId="7A3F5F78" w14:textId="77777777" w:rsidR="00D9517D" w:rsidRDefault="00D9517D" w:rsidP="00D9517D">
      <w:pPr>
        <w:tabs>
          <w:tab w:val="left" w:pos="720"/>
        </w:tabs>
        <w:jc w:val="both"/>
        <w:rPr>
          <w:sz w:val="24"/>
        </w:rPr>
      </w:pPr>
    </w:p>
    <w:p w14:paraId="201FBA40" w14:textId="77777777" w:rsidR="00126C32" w:rsidRDefault="00126C32" w:rsidP="00D9517D">
      <w:pPr>
        <w:tabs>
          <w:tab w:val="left" w:pos="720"/>
        </w:tabs>
        <w:jc w:val="both"/>
        <w:rPr>
          <w:sz w:val="24"/>
        </w:rPr>
      </w:pPr>
    </w:p>
    <w:p w14:paraId="2EBA6340" w14:textId="77777777" w:rsidR="00126C32" w:rsidRDefault="00126C32" w:rsidP="00D9517D">
      <w:pPr>
        <w:tabs>
          <w:tab w:val="left" w:pos="720"/>
        </w:tabs>
        <w:jc w:val="both"/>
        <w:rPr>
          <w:sz w:val="24"/>
        </w:rPr>
      </w:pPr>
    </w:p>
    <w:p w14:paraId="6BF6B3DB" w14:textId="77777777" w:rsidR="00126C32" w:rsidRDefault="00126C32" w:rsidP="00D9517D">
      <w:pPr>
        <w:tabs>
          <w:tab w:val="left" w:pos="720"/>
        </w:tabs>
        <w:jc w:val="both"/>
        <w:rPr>
          <w:sz w:val="24"/>
        </w:rPr>
      </w:pPr>
    </w:p>
    <w:p w14:paraId="3C1BBDAC" w14:textId="77777777" w:rsidR="00126C32" w:rsidRDefault="00126C32" w:rsidP="00D9517D">
      <w:pPr>
        <w:tabs>
          <w:tab w:val="left" w:pos="720"/>
        </w:tabs>
        <w:jc w:val="both"/>
        <w:rPr>
          <w:sz w:val="24"/>
        </w:rPr>
      </w:pPr>
    </w:p>
    <w:p w14:paraId="63B600E0" w14:textId="77777777" w:rsidR="00126C32" w:rsidRDefault="00126C32" w:rsidP="00D9517D">
      <w:pPr>
        <w:tabs>
          <w:tab w:val="left" w:pos="720"/>
        </w:tabs>
        <w:jc w:val="both"/>
        <w:rPr>
          <w:sz w:val="24"/>
        </w:rPr>
      </w:pPr>
    </w:p>
    <w:p w14:paraId="55C94BFC" w14:textId="0F484CC6" w:rsidR="00C47C78" w:rsidRDefault="00DD06FB" w:rsidP="00D9517D">
      <w:pPr>
        <w:tabs>
          <w:tab w:val="left" w:pos="720"/>
        </w:tabs>
        <w:jc w:val="both"/>
        <w:rPr>
          <w:sz w:val="24"/>
        </w:rPr>
      </w:pPr>
      <w:r>
        <w:rPr>
          <w:sz w:val="24"/>
        </w:rPr>
        <w:t xml:space="preserve">EPE correctly calculated interest on its 2019 under-recovery by applying the interest rates </w:t>
      </w:r>
      <w:r w:rsidR="0093072B">
        <w:rPr>
          <w:sz w:val="24"/>
        </w:rPr>
        <w:t xml:space="preserve">established by the Commission </w:t>
      </w:r>
      <w:r>
        <w:rPr>
          <w:sz w:val="24"/>
        </w:rPr>
        <w:t>for over</w:t>
      </w:r>
      <w:r w:rsidR="0093072B">
        <w:rPr>
          <w:sz w:val="24"/>
        </w:rPr>
        <w:t>-</w:t>
      </w:r>
      <w:r>
        <w:rPr>
          <w:sz w:val="24"/>
        </w:rPr>
        <w:t xml:space="preserve"> and under</w:t>
      </w:r>
      <w:r w:rsidR="0093072B">
        <w:rPr>
          <w:sz w:val="24"/>
        </w:rPr>
        <w:t>-</w:t>
      </w:r>
      <w:r>
        <w:rPr>
          <w:sz w:val="24"/>
        </w:rPr>
        <w:t>recoveries for calendar years 2019 and 2020.</w:t>
      </w:r>
    </w:p>
    <w:p w14:paraId="1B00A951" w14:textId="77777777" w:rsidR="005D34B3" w:rsidRDefault="005D34B3" w:rsidP="00D9517D">
      <w:pPr>
        <w:tabs>
          <w:tab w:val="left" w:pos="720"/>
        </w:tabs>
        <w:jc w:val="both"/>
        <w:rPr>
          <w:sz w:val="24"/>
        </w:rPr>
      </w:pPr>
    </w:p>
    <w:p w14:paraId="6C3E7E0B" w14:textId="036C4E57" w:rsidR="00D9517D" w:rsidRDefault="00DD06FB" w:rsidP="00D9517D">
      <w:pPr>
        <w:tabs>
          <w:tab w:val="left" w:pos="720"/>
        </w:tabs>
        <w:jc w:val="both"/>
        <w:rPr>
          <w:sz w:val="24"/>
        </w:rPr>
      </w:pPr>
      <w:r>
        <w:rPr>
          <w:sz w:val="24"/>
        </w:rPr>
        <w:t xml:space="preserve">In response to discovery, EPE </w:t>
      </w:r>
      <w:r w:rsidR="00C534D2">
        <w:rPr>
          <w:sz w:val="24"/>
        </w:rPr>
        <w:t>noted that it “included no incentive compensation costs paid to EPE employees in the Energy Efficiency Cost Recovery Factor for the years 2019, 2020, and 2021, and included no estimated amounts for incentive compensation costs paid to EPE employees in its request related to those program years.”</w:t>
      </w:r>
      <w:r w:rsidR="00C534D2">
        <w:rPr>
          <w:rStyle w:val="FootnoteReference"/>
          <w:sz w:val="24"/>
        </w:rPr>
        <w:footnoteReference w:id="4"/>
      </w:r>
    </w:p>
    <w:p w14:paraId="5104C6C3" w14:textId="77777777" w:rsidR="00D9517D" w:rsidRPr="00D9517D" w:rsidRDefault="00D9517D" w:rsidP="00D9517D">
      <w:pPr>
        <w:tabs>
          <w:tab w:val="left" w:pos="1170"/>
        </w:tabs>
        <w:ind w:left="1166" w:hanging="1166"/>
        <w:jc w:val="both"/>
        <w:rPr>
          <w:sz w:val="24"/>
        </w:rPr>
      </w:pPr>
    </w:p>
    <w:p w14:paraId="6B9AAAD7" w14:textId="29C29259" w:rsidR="004712FD" w:rsidRPr="004712FD" w:rsidRDefault="00BF6FF6" w:rsidP="004712FD">
      <w:pPr>
        <w:pStyle w:val="Style12ptJustifiedLeft0Hanging05LinespacingD"/>
        <w:spacing w:line="240" w:lineRule="auto"/>
        <w:ind w:left="0" w:firstLine="0"/>
        <w:rPr>
          <w:szCs w:val="24"/>
        </w:rPr>
      </w:pPr>
      <w:r>
        <w:rPr>
          <w:szCs w:val="24"/>
        </w:rPr>
        <w:t xml:space="preserve">EPE is requesting inclusion of its own Docket No. 49496 </w:t>
      </w:r>
      <w:r w:rsidR="00C47C78">
        <w:rPr>
          <w:szCs w:val="24"/>
        </w:rPr>
        <w:t xml:space="preserve">rate-case </w:t>
      </w:r>
      <w:r>
        <w:rPr>
          <w:szCs w:val="24"/>
        </w:rPr>
        <w:t xml:space="preserve">expenses of $46,364 as well as the expenses of the City of El Paso in the amount of $10,277 for a total request of $56,641.  </w:t>
      </w:r>
      <w:r w:rsidR="00C534D2">
        <w:rPr>
          <w:szCs w:val="24"/>
        </w:rPr>
        <w:t xml:space="preserve">The recovery of rate-case expenses incurred by utilities and municipalities in EECRF proceedings is </w:t>
      </w:r>
      <w:r w:rsidR="00C534D2" w:rsidRPr="00755792">
        <w:rPr>
          <w:szCs w:val="24"/>
        </w:rPr>
        <w:t xml:space="preserve">set forth in </w:t>
      </w:r>
      <w:r w:rsidR="00C534D2">
        <w:rPr>
          <w:szCs w:val="24"/>
        </w:rPr>
        <w:t>16 TAC § 25.182(d)(3)</w:t>
      </w:r>
      <w:r w:rsidR="0093072B">
        <w:rPr>
          <w:szCs w:val="24"/>
        </w:rPr>
        <w:t>,</w:t>
      </w:r>
      <w:r w:rsidR="00C534D2">
        <w:rPr>
          <w:szCs w:val="24"/>
        </w:rPr>
        <w:t xml:space="preserve"> which provides that only expenses for the immediately previous EECRF proceeding are to be included in the EECRF calculation.  </w:t>
      </w:r>
      <w:r w:rsidR="004712FD">
        <w:rPr>
          <w:szCs w:val="24"/>
        </w:rPr>
        <w:t>Additionally, t</w:t>
      </w:r>
      <w:r w:rsidR="004712FD" w:rsidRPr="004712FD">
        <w:rPr>
          <w:szCs w:val="24"/>
        </w:rPr>
        <w:t>he standard that govern</w:t>
      </w:r>
      <w:r w:rsidR="004712FD">
        <w:rPr>
          <w:szCs w:val="24"/>
        </w:rPr>
        <w:t>s</w:t>
      </w:r>
      <w:r w:rsidR="004712FD" w:rsidRPr="004712FD">
        <w:rPr>
          <w:szCs w:val="24"/>
        </w:rPr>
        <w:t xml:space="preserve"> the determination of the reasonableness of rate-case expenses is 16 TAC § 25.245</w:t>
      </w:r>
      <w:r w:rsidR="004712FD">
        <w:rPr>
          <w:szCs w:val="24"/>
        </w:rPr>
        <w:t>.</w:t>
      </w:r>
      <w:r w:rsidR="004712FD" w:rsidRPr="004712FD">
        <w:rPr>
          <w:szCs w:val="24"/>
        </w:rPr>
        <w:t xml:space="preserve"> </w:t>
      </w:r>
      <w:r w:rsidR="004712FD">
        <w:rPr>
          <w:szCs w:val="24"/>
        </w:rPr>
        <w:t xml:space="preserve">  B</w:t>
      </w:r>
      <w:r w:rsidR="004712FD" w:rsidRPr="004712FD">
        <w:rPr>
          <w:szCs w:val="24"/>
        </w:rPr>
        <w:t xml:space="preserve">ased on the evidence provided by the </w:t>
      </w:r>
      <w:r w:rsidR="004712FD">
        <w:rPr>
          <w:szCs w:val="24"/>
        </w:rPr>
        <w:t>Company and the City of El Paso, the</w:t>
      </w:r>
      <w:r w:rsidR="004712FD" w:rsidRPr="004712FD">
        <w:rPr>
          <w:szCs w:val="24"/>
        </w:rPr>
        <w:t xml:space="preserve"> rate-case expenses </w:t>
      </w:r>
      <w:r w:rsidR="004712FD">
        <w:rPr>
          <w:szCs w:val="24"/>
        </w:rPr>
        <w:t xml:space="preserve">requested </w:t>
      </w:r>
      <w:r w:rsidR="004712FD" w:rsidRPr="004712FD">
        <w:rPr>
          <w:szCs w:val="24"/>
        </w:rPr>
        <w:t xml:space="preserve">for </w:t>
      </w:r>
      <w:r w:rsidR="004712FD">
        <w:rPr>
          <w:szCs w:val="24"/>
        </w:rPr>
        <w:t>Docket No. 49496</w:t>
      </w:r>
      <w:r w:rsidR="004712FD" w:rsidRPr="004712FD">
        <w:rPr>
          <w:szCs w:val="24"/>
        </w:rPr>
        <w:t xml:space="preserve"> comply with the criteria outlined </w:t>
      </w:r>
      <w:r w:rsidR="00744B73">
        <w:rPr>
          <w:szCs w:val="24"/>
        </w:rPr>
        <w:t>there</w:t>
      </w:r>
      <w:r w:rsidR="004712FD" w:rsidRPr="004712FD">
        <w:rPr>
          <w:szCs w:val="24"/>
        </w:rPr>
        <w:t>in.  Specifically:</w:t>
      </w:r>
    </w:p>
    <w:p w14:paraId="2798DC7D" w14:textId="61123058" w:rsidR="004712FD" w:rsidRPr="004712FD" w:rsidRDefault="004712FD" w:rsidP="00744B73">
      <w:pPr>
        <w:pStyle w:val="Style12ptJustifiedLeft0Hanging05LinespacingD"/>
        <w:numPr>
          <w:ilvl w:val="0"/>
          <w:numId w:val="1"/>
        </w:numPr>
        <w:spacing w:line="240" w:lineRule="auto"/>
        <w:rPr>
          <w:szCs w:val="24"/>
        </w:rPr>
      </w:pPr>
      <w:r w:rsidRPr="004712FD">
        <w:rPr>
          <w:szCs w:val="24"/>
        </w:rPr>
        <w:t xml:space="preserve">The </w:t>
      </w:r>
      <w:r w:rsidR="00744B73">
        <w:rPr>
          <w:szCs w:val="24"/>
        </w:rPr>
        <w:t>requested</w:t>
      </w:r>
      <w:r w:rsidRPr="004712FD">
        <w:rPr>
          <w:szCs w:val="24"/>
        </w:rPr>
        <w:t xml:space="preserve"> amount of rate-case expenses does not include fees paid to, tasks performed by, or time spent on a task by an attorney or other professional that were either extreme or excessive.</w:t>
      </w:r>
    </w:p>
    <w:p w14:paraId="2E4F6DEB" w14:textId="7716169F" w:rsidR="004712FD" w:rsidRPr="004712FD" w:rsidRDefault="004712FD" w:rsidP="00744B73">
      <w:pPr>
        <w:pStyle w:val="Style12ptJustifiedLeft0Hanging05LinespacingD"/>
        <w:numPr>
          <w:ilvl w:val="0"/>
          <w:numId w:val="1"/>
        </w:numPr>
        <w:spacing w:line="240" w:lineRule="auto"/>
        <w:rPr>
          <w:szCs w:val="24"/>
        </w:rPr>
      </w:pPr>
      <w:r w:rsidRPr="004712FD">
        <w:rPr>
          <w:szCs w:val="24"/>
        </w:rPr>
        <w:t xml:space="preserve">The </w:t>
      </w:r>
      <w:r w:rsidR="00744B73">
        <w:rPr>
          <w:szCs w:val="24"/>
        </w:rPr>
        <w:t>requested</w:t>
      </w:r>
      <w:r w:rsidRPr="004712FD">
        <w:rPr>
          <w:szCs w:val="24"/>
        </w:rPr>
        <w:t xml:space="preserve"> amount of rate-case expenses does not include expenses incurred for lodging, meals and beverages, transportation, or other services or materials that were either extreme or excessive.</w:t>
      </w:r>
    </w:p>
    <w:p w14:paraId="3838A74A" w14:textId="2C7ABDDB" w:rsidR="004712FD" w:rsidRPr="004712FD" w:rsidRDefault="004712FD" w:rsidP="00744B73">
      <w:pPr>
        <w:pStyle w:val="Style12ptJustifiedLeft0Hanging05LinespacingD"/>
        <w:numPr>
          <w:ilvl w:val="0"/>
          <w:numId w:val="1"/>
        </w:numPr>
        <w:spacing w:line="240" w:lineRule="auto"/>
        <w:rPr>
          <w:szCs w:val="24"/>
        </w:rPr>
      </w:pPr>
      <w:r w:rsidRPr="004712FD">
        <w:rPr>
          <w:szCs w:val="24"/>
        </w:rPr>
        <w:t xml:space="preserve">The </w:t>
      </w:r>
      <w:r w:rsidR="00744B73">
        <w:rPr>
          <w:szCs w:val="24"/>
        </w:rPr>
        <w:t>requested</w:t>
      </w:r>
      <w:r w:rsidRPr="004712FD">
        <w:rPr>
          <w:szCs w:val="24"/>
        </w:rPr>
        <w:t xml:space="preserve"> amount of rate-case expenses does not contain any amounts for duplication of services or testimony.</w:t>
      </w:r>
    </w:p>
    <w:p w14:paraId="0CE2B3CF" w14:textId="50AE69CF" w:rsidR="00744B73" w:rsidRDefault="004712FD" w:rsidP="00744B73">
      <w:pPr>
        <w:pStyle w:val="Style12ptJustifiedLeft0Hanging05LinespacingD"/>
        <w:numPr>
          <w:ilvl w:val="0"/>
          <w:numId w:val="1"/>
        </w:numPr>
        <w:spacing w:line="240" w:lineRule="auto"/>
        <w:rPr>
          <w:szCs w:val="24"/>
        </w:rPr>
      </w:pPr>
      <w:r w:rsidRPr="004712FD">
        <w:rPr>
          <w:szCs w:val="24"/>
        </w:rPr>
        <w:t xml:space="preserve">The </w:t>
      </w:r>
      <w:r w:rsidR="00744B73">
        <w:rPr>
          <w:szCs w:val="24"/>
        </w:rPr>
        <w:t>requested</w:t>
      </w:r>
      <w:r w:rsidRPr="004712FD">
        <w:rPr>
          <w:szCs w:val="24"/>
        </w:rPr>
        <w:t xml:space="preserve"> amount of rate-case expenses is not disproportionate, excessive, or unwarranted in relation to the nature and scope of the </w:t>
      </w:r>
      <w:r w:rsidR="00BF6FF6">
        <w:rPr>
          <w:szCs w:val="24"/>
        </w:rPr>
        <w:t xml:space="preserve">EECRF </w:t>
      </w:r>
      <w:r w:rsidRPr="004712FD">
        <w:rPr>
          <w:szCs w:val="24"/>
        </w:rPr>
        <w:t>proceeding for which</w:t>
      </w:r>
      <w:r>
        <w:rPr>
          <w:szCs w:val="24"/>
        </w:rPr>
        <w:t xml:space="preserve"> </w:t>
      </w:r>
      <w:r w:rsidR="00744B73">
        <w:rPr>
          <w:szCs w:val="24"/>
        </w:rPr>
        <w:t>EPE and the City of El Paso are</w:t>
      </w:r>
      <w:r w:rsidR="00744B73" w:rsidRPr="00744B73">
        <w:rPr>
          <w:szCs w:val="24"/>
        </w:rPr>
        <w:t xml:space="preserve"> seeking recovery or reimbursement.</w:t>
      </w:r>
    </w:p>
    <w:p w14:paraId="16C2E548" w14:textId="4DE2C3D6" w:rsidR="00744B73" w:rsidRDefault="00744B73" w:rsidP="00744B73">
      <w:pPr>
        <w:pStyle w:val="Style12ptJustifiedLeft0Hanging05LinespacingD"/>
        <w:spacing w:line="240" w:lineRule="auto"/>
        <w:rPr>
          <w:szCs w:val="24"/>
        </w:rPr>
      </w:pPr>
    </w:p>
    <w:p w14:paraId="0F7FC9ED" w14:textId="2516BD71" w:rsidR="00744B73" w:rsidRDefault="00BF6FF6" w:rsidP="00BF6FF6">
      <w:pPr>
        <w:pStyle w:val="Style12ptJustifiedLeft0Hanging05LinespacingD"/>
        <w:spacing w:line="240" w:lineRule="auto"/>
        <w:ind w:left="0" w:firstLine="0"/>
        <w:rPr>
          <w:szCs w:val="24"/>
        </w:rPr>
      </w:pPr>
      <w:r>
        <w:rPr>
          <w:szCs w:val="24"/>
        </w:rPr>
        <w:t>Based on my review as described above, I am proposing no adjustments to EPE’s request to revise its EECRF for the 2021 program year.</w:t>
      </w:r>
    </w:p>
    <w:p w14:paraId="20EBDE26" w14:textId="77777777" w:rsidR="00744B73" w:rsidRPr="00744B73" w:rsidRDefault="00744B73" w:rsidP="00744B73">
      <w:pPr>
        <w:pStyle w:val="Style12ptJustifiedLeft0Hanging05LinespacingD"/>
        <w:spacing w:line="240" w:lineRule="auto"/>
        <w:rPr>
          <w:szCs w:val="24"/>
        </w:rPr>
      </w:pPr>
    </w:p>
    <w:p w14:paraId="3220BFFF" w14:textId="54D51064" w:rsidR="00C534D2" w:rsidRDefault="004712FD" w:rsidP="00744B73">
      <w:pPr>
        <w:pStyle w:val="Style12ptJustifiedLeft0Hanging05LinespacingD"/>
        <w:spacing w:line="240" w:lineRule="auto"/>
        <w:ind w:left="1080" w:firstLine="0"/>
        <w:rPr>
          <w:szCs w:val="24"/>
        </w:rPr>
      </w:pPr>
      <w:r>
        <w:rPr>
          <w:szCs w:val="24"/>
        </w:rPr>
        <w:t xml:space="preserve"> </w:t>
      </w:r>
    </w:p>
    <w:p w14:paraId="6B6B2CF0" w14:textId="039BE2A7" w:rsidR="00D9517D" w:rsidRDefault="00C534D2" w:rsidP="00C534D2">
      <w:pPr>
        <w:pStyle w:val="Style12ptJustifiedLeft0Hanging05LinespacingD"/>
        <w:spacing w:line="240" w:lineRule="auto"/>
        <w:ind w:left="2160" w:right="1440" w:hanging="1440"/>
      </w:pPr>
      <w:r>
        <w:rPr>
          <w:szCs w:val="24"/>
        </w:rPr>
        <w:tab/>
      </w:r>
    </w:p>
    <w:p w14:paraId="0D6E70FE" w14:textId="77777777" w:rsidR="00D9517D" w:rsidRPr="00D9517D" w:rsidRDefault="00D9517D" w:rsidP="008262FF">
      <w:pPr>
        <w:tabs>
          <w:tab w:val="left" w:pos="1170"/>
        </w:tabs>
        <w:spacing w:after="120" w:line="480" w:lineRule="auto"/>
        <w:rPr>
          <w:sz w:val="24"/>
        </w:rPr>
      </w:pPr>
    </w:p>
    <w:sectPr w:rsidR="00D9517D" w:rsidRPr="00D9517D"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F99D9" w14:textId="77777777" w:rsidR="00422864" w:rsidRDefault="00422864">
      <w:r>
        <w:separator/>
      </w:r>
    </w:p>
  </w:endnote>
  <w:endnote w:type="continuationSeparator" w:id="0">
    <w:p w14:paraId="42BC1723" w14:textId="77777777" w:rsidR="00422864" w:rsidRDefault="00422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F81F1" w14:textId="77777777" w:rsidR="00422864" w:rsidRDefault="00422864">
      <w:r>
        <w:separator/>
      </w:r>
    </w:p>
  </w:footnote>
  <w:footnote w:type="continuationSeparator" w:id="0">
    <w:p w14:paraId="52CB96EA" w14:textId="77777777" w:rsidR="00422864" w:rsidRDefault="00422864">
      <w:r>
        <w:continuationSeparator/>
      </w:r>
    </w:p>
  </w:footnote>
  <w:footnote w:id="1">
    <w:p w14:paraId="7A71DFA7" w14:textId="721D4DDD" w:rsidR="00916E4A" w:rsidRDefault="00916E4A" w:rsidP="003B1204">
      <w:pPr>
        <w:pStyle w:val="FootnoteText"/>
        <w:spacing w:after="120"/>
        <w:ind w:firstLine="720"/>
        <w:jc w:val="both"/>
      </w:pPr>
      <w:r>
        <w:rPr>
          <w:rStyle w:val="FootnoteReference"/>
        </w:rPr>
        <w:footnoteRef/>
      </w:r>
      <w:r>
        <w:t xml:space="preserve"> Public Utility Regulatory Act, Tex. Util. Code §§ 11.001-66.017 (PURA).</w:t>
      </w:r>
    </w:p>
  </w:footnote>
  <w:footnote w:id="2">
    <w:p w14:paraId="112F3323" w14:textId="440D5A1E" w:rsidR="005666EB" w:rsidRPr="005666EB" w:rsidRDefault="005666EB" w:rsidP="003B1204">
      <w:pPr>
        <w:pStyle w:val="FootnoteText"/>
        <w:spacing w:after="120"/>
        <w:ind w:firstLine="720"/>
        <w:jc w:val="both"/>
      </w:pPr>
      <w:r>
        <w:rPr>
          <w:rStyle w:val="FootnoteReference"/>
        </w:rPr>
        <w:footnoteRef/>
      </w:r>
      <w:r>
        <w:t xml:space="preserve"> </w:t>
      </w:r>
      <w:r>
        <w:rPr>
          <w:i/>
          <w:iCs/>
        </w:rPr>
        <w:t xml:space="preserve">Application of El Paso Electric Company to Adjust its Energy Efficiency Cost Recovery Factor and Establish Revised Cost Cap, </w:t>
      </w:r>
      <w:r>
        <w:t>Docket No. 49496, Order (Nov. 21, 2019).</w:t>
      </w:r>
    </w:p>
  </w:footnote>
  <w:footnote w:id="3">
    <w:p w14:paraId="059ED56B" w14:textId="2D30448E" w:rsidR="005666EB" w:rsidRDefault="005666EB" w:rsidP="003B1204">
      <w:pPr>
        <w:pStyle w:val="FootnoteText"/>
        <w:spacing w:after="120"/>
        <w:ind w:firstLine="720"/>
        <w:jc w:val="both"/>
      </w:pPr>
      <w:r>
        <w:rPr>
          <w:rStyle w:val="FootnoteReference"/>
        </w:rPr>
        <w:footnoteRef/>
      </w:r>
      <w:r>
        <w:t xml:space="preserve"> Application at 2.</w:t>
      </w:r>
    </w:p>
  </w:footnote>
  <w:footnote w:id="4">
    <w:p w14:paraId="55F55A36" w14:textId="63EF3747" w:rsidR="00C534D2" w:rsidRDefault="00C534D2" w:rsidP="003B1204">
      <w:pPr>
        <w:pStyle w:val="FootnoteText"/>
        <w:spacing w:after="120"/>
        <w:ind w:firstLine="720"/>
        <w:jc w:val="both"/>
      </w:pPr>
      <w:r>
        <w:rPr>
          <w:rStyle w:val="FootnoteReference"/>
        </w:rPr>
        <w:footnoteRef/>
      </w:r>
      <w:r>
        <w:t xml:space="preserve"> El Paso Electric Company’s Response to Commission Staff’s Second Request for Information, Question No. Staff 2-1 (Jun. 25,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14045" w14:textId="77777777" w:rsidR="00DA36E8" w:rsidRDefault="00DA36E8">
    <w:pPr>
      <w:pStyle w:val="Header"/>
      <w:jc w:val="center"/>
      <w:rPr>
        <w:b/>
        <w:i/>
        <w:sz w:val="38"/>
      </w:rPr>
    </w:pPr>
    <w:r>
      <w:rPr>
        <w:b/>
        <w:i/>
        <w:sz w:val="38"/>
      </w:rPr>
      <w:t>Public Utility Commission of Texas</w:t>
    </w:r>
  </w:p>
  <w:p w14:paraId="599B760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C0ABD2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20C1B" w14:textId="77777777" w:rsidR="005D34B3" w:rsidRDefault="005D34B3">
    <w:pPr>
      <w:pStyle w:val="Header"/>
    </w:pPr>
    <w:r>
      <w:t>Docket No. 50806</w:t>
    </w:r>
  </w:p>
  <w:p w14:paraId="55E8FDEB" w14:textId="03614726" w:rsidR="00DA36E8" w:rsidRDefault="005D34B3">
    <w:pPr>
      <w:pStyle w:val="Header"/>
    </w:pPr>
    <w:r>
      <w:t>Ruth Stark Memorandum</w:t>
    </w:r>
    <w:r>
      <w:ptab w:relativeTo="margin" w:alignment="center" w:leader="none"/>
    </w:r>
    <w:r>
      <w:ptab w:relativeTo="margin" w:alignment="right" w:leader="none"/>
    </w:r>
    <w:r>
      <w:t>Page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17BEE"/>
    <w:multiLevelType w:val="hybridMultilevel"/>
    <w:tmpl w:val="724AE9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E00"/>
    <w:rsid w:val="00126C32"/>
    <w:rsid w:val="0013111D"/>
    <w:rsid w:val="003B1204"/>
    <w:rsid w:val="003F2A67"/>
    <w:rsid w:val="00422864"/>
    <w:rsid w:val="004712FD"/>
    <w:rsid w:val="005666EB"/>
    <w:rsid w:val="00575FB1"/>
    <w:rsid w:val="005D34B3"/>
    <w:rsid w:val="00744B73"/>
    <w:rsid w:val="007E4EE0"/>
    <w:rsid w:val="008257EC"/>
    <w:rsid w:val="008262FF"/>
    <w:rsid w:val="00851E00"/>
    <w:rsid w:val="00902E8A"/>
    <w:rsid w:val="0091083F"/>
    <w:rsid w:val="00916E4A"/>
    <w:rsid w:val="0093072B"/>
    <w:rsid w:val="00A7691E"/>
    <w:rsid w:val="00BC6318"/>
    <w:rsid w:val="00BF6FF6"/>
    <w:rsid w:val="00C47C78"/>
    <w:rsid w:val="00C534D2"/>
    <w:rsid w:val="00C617B2"/>
    <w:rsid w:val="00D9517D"/>
    <w:rsid w:val="00DA36E8"/>
    <w:rsid w:val="00DD06FB"/>
    <w:rsid w:val="00EA5690"/>
    <w:rsid w:val="00F85523"/>
    <w:rsid w:val="00FC4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22F3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FootnoteText">
    <w:name w:val="footnote text"/>
    <w:aliases w:val="Style 22,Style 13,Footnote Text Char Char1,fn,Footnote Text Char Char,ft Char,Footnote Text Char2 Char,Footnote Text Char Char1 Char,Footnote Text Char1 Char Char Char,Footnote Text Char Char Char Char Char,ft,f,Footnote Text Char1"/>
    <w:basedOn w:val="Normal"/>
    <w:link w:val="FootnoteTextChar"/>
    <w:uiPriority w:val="99"/>
    <w:unhideWhenUsed/>
    <w:qFormat/>
    <w:rsid w:val="00D9517D"/>
    <w:pPr>
      <w:overflowPunct/>
      <w:autoSpaceDE/>
      <w:autoSpaceDN/>
      <w:adjustRightInd/>
      <w:textAlignment w:val="auto"/>
    </w:pPr>
  </w:style>
  <w:style w:type="character" w:customStyle="1" w:styleId="FootnoteTextChar">
    <w:name w:val="Footnote Text Char"/>
    <w:aliases w:val="Style 22 Char,Style 13 Char,Footnote Text Char Char1 Char1,fn Char,Footnote Text Char Char Char,ft Char Char,Footnote Text Char2 Char Char,Footnote Text Char Char1 Char Char,Footnote Text Char1 Char Char Char Char,ft Char1,f Char"/>
    <w:basedOn w:val="DefaultParagraphFont"/>
    <w:link w:val="FootnoteText"/>
    <w:uiPriority w:val="99"/>
    <w:rsid w:val="00D9517D"/>
  </w:style>
  <w:style w:type="character" w:styleId="FootnoteReference">
    <w:name w:val="footnote reference"/>
    <w:aliases w:val="Style 21,Style 12,Style 24,o,fr,Style 17,Style 11,Style 28,Style 8,Style 15,Style 9,o1,fr1,o2,fr2,o3,fr3,Style 18,(NECG) Footnote Reference,Style 20,Style 7,Style 19,Style 16,Style 30,HLR Footnote,Style 3,FR,Appel note de bas de p"/>
    <w:basedOn w:val="DefaultParagraphFont"/>
    <w:uiPriority w:val="99"/>
    <w:unhideWhenUsed/>
    <w:qFormat/>
    <w:rsid w:val="00D9517D"/>
    <w:rPr>
      <w:vertAlign w:val="superscript"/>
    </w:rPr>
  </w:style>
  <w:style w:type="paragraph" w:customStyle="1" w:styleId="Style12ptJustifiedLeft0Hanging05LinespacingD">
    <w:name w:val="Style 12 pt Justified Left:  0&quot; Hanging:  0.5&quot; Line spacing:  D..."/>
    <w:basedOn w:val="Normal"/>
    <w:rsid w:val="00C534D2"/>
    <w:pPr>
      <w:spacing w:line="480" w:lineRule="auto"/>
      <w:ind w:left="720" w:hanging="720"/>
      <w:jc w:val="both"/>
    </w:pPr>
    <w:rPr>
      <w:sz w:val="24"/>
    </w:rPr>
  </w:style>
  <w:style w:type="character" w:customStyle="1" w:styleId="FooterChar">
    <w:name w:val="Footer Char"/>
    <w:basedOn w:val="DefaultParagraphFont"/>
    <w:link w:val="Footer"/>
    <w:uiPriority w:val="99"/>
    <w:rsid w:val="00F85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9495E-02BC-4F4F-A565-FF3CBD3AA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578</Words>
  <Characters>3131</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2020-07-10T17:54:00Z</dcterms:created>
  <dcterms:modified xsi:type="dcterms:W3CDTF">2020-07-10T17:54:00Z</dcterms:modified>
</cp:coreProperties>
</file>